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NOTICE OF PUBLIC HEARING</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both"/>
        <w:rPr>
          <w:sz w:val="24"/>
          <w:szCs w:val="24"/>
        </w:rPr>
      </w:pPr>
      <w:r w:rsidDel="00000000" w:rsidR="00000000" w:rsidRPr="00000000">
        <w:rPr>
          <w:rFonts w:ascii="Times New Roman" w:cs="Times New Roman" w:eastAsia="Times New Roman" w:hAnsi="Times New Roman"/>
          <w:sz w:val="24"/>
          <w:szCs w:val="24"/>
          <w:rtl w:val="0"/>
        </w:rPr>
        <w:tab/>
        <w:t xml:space="preserve">NOTICE IS HEREBY GIVEN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sz w:val="26"/>
          <w:szCs w:val="26"/>
          <w:rtl w:val="0"/>
        </w:rPr>
        <w:t xml:space="preserve">pursuant to Utah Code </w:t>
      </w:r>
      <w:r w:rsidDel="00000000" w:rsidR="00000000" w:rsidRPr="00000000">
        <w:rPr>
          <w:sz w:val="26"/>
          <w:szCs w:val="26"/>
          <w:rtl w:val="0"/>
        </w:rPr>
        <w:t xml:space="preserve">10-2-415</w:t>
      </w:r>
      <w:r w:rsidDel="00000000" w:rsidR="00000000" w:rsidRPr="00000000">
        <w:rPr>
          <w:sz w:val="26"/>
          <w:szCs w:val="26"/>
          <w:rtl w:val="0"/>
        </w:rPr>
        <w:t xml:space="preserve"> that a public hearing will be held for a Boundary Commission hearing. </w:t>
      </w:r>
      <w:r w:rsidDel="00000000" w:rsidR="00000000" w:rsidRPr="00000000">
        <w:rPr>
          <w:sz w:val="24"/>
          <w:szCs w:val="24"/>
          <w:rtl w:val="0"/>
        </w:rPr>
        <w:t xml:space="preserve">The Garland Canal Bank Road annexation petition was filed with Garland City on 9/11/2024. During this period, three (3) protests were received by the Box Elder County Clerk’s Office, who provided the protests to the County’s Boundary Commission for review. The Box Elder County Boundary Commission is holding this public hearing to review and receive additional information and comment related to these protests summarized below:</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sz w:val="24"/>
          <w:szCs w:val="24"/>
        </w:rPr>
      </w:pPr>
      <w:r w:rsidDel="00000000" w:rsidR="00000000" w:rsidRPr="00000000">
        <w:rPr>
          <w:rtl w:val="0"/>
        </w:rPr>
      </w:r>
    </w:p>
    <w:p w:rsidR="00000000" w:rsidDel="00000000" w:rsidP="00000000" w:rsidRDefault="00000000" w:rsidRPr="00000000" w14:paraId="00000007">
      <w:pPr>
        <w:spacing w:line="240" w:lineRule="auto"/>
        <w:jc w:val="both"/>
        <w:rPr>
          <w:sz w:val="24"/>
          <w:szCs w:val="24"/>
        </w:rPr>
      </w:pPr>
      <w:r w:rsidDel="00000000" w:rsidR="00000000" w:rsidRPr="00000000">
        <w:rPr>
          <w:sz w:val="24"/>
          <w:szCs w:val="24"/>
          <w:rtl w:val="0"/>
        </w:rPr>
        <w:tab/>
        <w:t xml:space="preserve">The public hearing will be held at 6:00 p.m. on the 24th day of January, 2025, at the Box Elder County Courthouse Commission Chambers located at 1 South Main, Brigham City, Utah 84302.</w:t>
      </w:r>
    </w:p>
    <w:p w:rsidR="00000000" w:rsidDel="00000000" w:rsidP="00000000" w:rsidRDefault="00000000" w:rsidRPr="00000000" w14:paraId="00000008">
      <w:pPr>
        <w:spacing w:line="240" w:lineRule="auto"/>
        <w:jc w:val="both"/>
        <w:rPr>
          <w:sz w:val="24"/>
          <w:szCs w:val="24"/>
        </w:rPr>
      </w:pPr>
      <w:r w:rsidDel="00000000" w:rsidR="00000000" w:rsidRPr="00000000">
        <w:rPr>
          <w:rtl w:val="0"/>
        </w:rPr>
      </w:r>
    </w:p>
    <w:p w:rsidR="00000000" w:rsidDel="00000000" w:rsidP="00000000" w:rsidRDefault="00000000" w:rsidRPr="00000000" w14:paraId="00000009">
      <w:pPr>
        <w:spacing w:line="24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0A">
      <w:pPr>
        <w:spacing w:line="240" w:lineRule="auto"/>
        <w:ind w:left="2880" w:firstLine="720"/>
        <w:jc w:val="both"/>
        <w:rPr>
          <w:sz w:val="24"/>
          <w:szCs w:val="24"/>
        </w:rPr>
      </w:pPr>
      <w:r w:rsidDel="00000000" w:rsidR="00000000" w:rsidRPr="00000000">
        <w:rPr>
          <w:i w:val="1"/>
          <w:sz w:val="24"/>
          <w:szCs w:val="24"/>
          <w:rtl w:val="0"/>
        </w:rPr>
        <w:t xml:space="preserve">(See Attachment A)</w:t>
      </w: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pPr>
      <w:r w:rsidDel="00000000" w:rsidR="00000000" w:rsidRPr="00000000">
        <w:rPr>
          <w:b w:val="1"/>
          <w:i w:val="1"/>
          <w:u w:val="single"/>
          <w:rtl w:val="0"/>
        </w:rPr>
        <w:t xml:space="preserve">Attachment A</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Garland certified the petition on 10/30/2024 beginning the 30-day protest period. During this period, three (3) protests were received by the Box Elder County Clerk’s Office, who provided the protests to the County’s Boundary Commission for review. The Box Elder County Boundary Commission is holding this public hearing to review and receive additional information and comment related to these protests summarized below:</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The protests highlight issues such as the potential increase in property taxes and fees without corresponding services, and the lack of proper notice and public hearings. Additionally, the protests address the exclusion of certain contiguous properties from the annexation and concerns regarding agricultural zoning protections, and negative impacts of zoning and land use regulations by the city.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